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2B" w:rsidRPr="00451F2B" w:rsidRDefault="00E24A64">
      <w:pPr>
        <w:jc w:val="center"/>
        <w:rPr>
          <w:lang w:val="ru-RU"/>
        </w:rPr>
      </w:pPr>
      <w:r>
        <w:rPr>
          <w:lang w:val="ru-RU"/>
        </w:rPr>
        <w:t>П</w:t>
      </w:r>
      <w:r w:rsidR="005874B5" w:rsidRPr="00451F2B">
        <w:rPr>
          <w:lang w:val="ru-RU"/>
        </w:rPr>
        <w:t>ита</w:t>
      </w:r>
      <w:r w:rsidR="005874B5">
        <w:rPr>
          <w:lang w:val="sr-Cyrl-CS"/>
        </w:rPr>
        <w:t>њ</w:t>
      </w:r>
      <w:r w:rsidR="005874B5" w:rsidRPr="00451F2B">
        <w:rPr>
          <w:lang w:val="ru-RU"/>
        </w:rPr>
        <w:t>а</w:t>
      </w:r>
      <w:r w:rsidR="005874B5">
        <w:rPr>
          <w:lang w:val="sr-Latn-CS"/>
        </w:rPr>
        <w:t xml:space="preserve"> </w:t>
      </w:r>
      <w:r>
        <w:rPr>
          <w:lang w:val="sr-Cyrl-CS"/>
        </w:rPr>
        <w:t xml:space="preserve">за </w:t>
      </w:r>
      <w:r w:rsidR="00FA1AD4">
        <w:rPr>
          <w:lang w:val="sr-Cyrl-CS"/>
        </w:rPr>
        <w:t>други</w:t>
      </w:r>
      <w:r>
        <w:rPr>
          <w:lang w:val="sr-Cyrl-CS"/>
        </w:rPr>
        <w:t xml:space="preserve"> колоквијум </w:t>
      </w:r>
      <w:r w:rsidR="006D7B10">
        <w:rPr>
          <w:lang w:val="sr-Cyrl-CS"/>
        </w:rPr>
        <w:t>из</w:t>
      </w:r>
      <w:r w:rsidR="005874B5">
        <w:rPr>
          <w:lang w:val="sr-Cyrl-CS"/>
        </w:rPr>
        <w:t xml:space="preserve"> предмет</w:t>
      </w:r>
      <w:r w:rsidR="006D7B10">
        <w:rPr>
          <w:lang w:val="sr-Cyrl-CS"/>
        </w:rPr>
        <w:t>а</w:t>
      </w:r>
      <w:r w:rsidR="005874B5">
        <w:rPr>
          <w:lang w:val="sr-Cyrl-CS"/>
        </w:rPr>
        <w:t xml:space="preserve"> </w:t>
      </w:r>
      <w:r w:rsidR="002B2627">
        <w:rPr>
          <w:lang w:val="sr-Cyrl-CS"/>
        </w:rPr>
        <w:t>„</w:t>
      </w:r>
      <w:r w:rsidR="007E2D00">
        <w:rPr>
          <w:lang w:val="sr-Cyrl-CS"/>
        </w:rPr>
        <w:t>Основи међународног</w:t>
      </w:r>
      <w:r w:rsidR="001C311A">
        <w:rPr>
          <w:lang w:val="sr-Cyrl-CS"/>
        </w:rPr>
        <w:t xml:space="preserve"> пословањ</w:t>
      </w:r>
      <w:r w:rsidR="007E2D00">
        <w:rPr>
          <w:lang w:val="sr-Cyrl-CS"/>
        </w:rPr>
        <w:t>а</w:t>
      </w:r>
      <w:r w:rsidR="002B2627">
        <w:rPr>
          <w:lang w:val="ru-RU"/>
        </w:rPr>
        <w:t>”</w:t>
      </w:r>
      <w:r w:rsidR="005874B5" w:rsidRPr="00451F2B">
        <w:rPr>
          <w:lang w:val="ru-RU"/>
        </w:rPr>
        <w:t xml:space="preserve"> </w:t>
      </w:r>
    </w:p>
    <w:p w:rsidR="00A31244" w:rsidRDefault="00A31244">
      <w:pPr>
        <w:rPr>
          <w:lang w:val="ru-RU"/>
        </w:rPr>
      </w:pPr>
    </w:p>
    <w:p w:rsidR="00F54CF7" w:rsidRPr="00451F2B" w:rsidRDefault="00F54CF7">
      <w:pPr>
        <w:rPr>
          <w:lang w:val="ru-RU"/>
        </w:rPr>
      </w:pPr>
    </w:p>
    <w:p w:rsidR="001C311A" w:rsidRPr="001C311A" w:rsidRDefault="005B5800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>С</w:t>
      </w:r>
      <w:r w:rsidR="001C311A">
        <w:rPr>
          <w:lang w:val="sr-Cyrl-CS"/>
        </w:rPr>
        <w:t>пољнотрговинск</w:t>
      </w:r>
      <w:r>
        <w:rPr>
          <w:lang w:val="sr-Cyrl-CS"/>
        </w:rPr>
        <w:t>и промет</w:t>
      </w:r>
      <w:r w:rsidR="001C311A">
        <w:rPr>
          <w:lang w:val="sr-Cyrl-CS"/>
        </w:rPr>
        <w:t xml:space="preserve"> </w:t>
      </w:r>
      <w:r>
        <w:rPr>
          <w:lang w:val="sr-Cyrl-CS"/>
        </w:rPr>
        <w:t>услуга</w:t>
      </w:r>
      <w:r w:rsidR="001C311A">
        <w:rPr>
          <w:lang w:val="sr-Cyrl-CS"/>
        </w:rPr>
        <w:t xml:space="preserve"> – </w:t>
      </w:r>
      <w:r>
        <w:rPr>
          <w:lang w:val="sr-Cyrl-CS"/>
        </w:rPr>
        <w:t>појам услуга</w:t>
      </w:r>
      <w:r w:rsidR="001C311A">
        <w:rPr>
          <w:lang w:val="sr-Cyrl-CS"/>
        </w:rPr>
        <w:t xml:space="preserve"> </w:t>
      </w:r>
      <w:r>
        <w:rPr>
          <w:lang w:val="sr-Cyrl-CS"/>
        </w:rPr>
        <w:t>88-90</w:t>
      </w:r>
    </w:p>
    <w:p w:rsidR="001C311A" w:rsidRPr="001C311A" w:rsidRDefault="00446DB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>Услуге међународног отпремања и међународног превоза</w:t>
      </w:r>
      <w:r w:rsidR="001C311A">
        <w:rPr>
          <w:lang w:val="sr-Cyrl-CS"/>
        </w:rPr>
        <w:t xml:space="preserve"> </w:t>
      </w:r>
      <w:r>
        <w:rPr>
          <w:lang w:val="sr-Cyrl-CS"/>
        </w:rPr>
        <w:t>90</w:t>
      </w:r>
      <w:r w:rsidR="001C311A">
        <w:rPr>
          <w:lang w:val="sr-Cyrl-CS"/>
        </w:rPr>
        <w:t>-</w:t>
      </w:r>
      <w:r>
        <w:rPr>
          <w:lang w:val="sr-Cyrl-CS"/>
        </w:rPr>
        <w:t>91</w:t>
      </w:r>
    </w:p>
    <w:p w:rsidR="001C311A" w:rsidRPr="00D5047A" w:rsidRDefault="00446DB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Услуге заступања, </w:t>
      </w:r>
      <w:r w:rsidR="00A25003">
        <w:rPr>
          <w:lang w:val="sr-Cyrl-CS"/>
        </w:rPr>
        <w:t>одржавања</w:t>
      </w:r>
      <w:r>
        <w:rPr>
          <w:lang w:val="sr-Cyrl-CS"/>
        </w:rPr>
        <w:t xml:space="preserve"> и држања консигнацијског складишта 91-92</w:t>
      </w:r>
    </w:p>
    <w:p w:rsidR="00D5047A" w:rsidRPr="001C311A" w:rsidRDefault="00D5047A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>Услуге продаје робе у слободним царинским продавницама и услуге у слободним царинским зонама 92-94</w:t>
      </w:r>
    </w:p>
    <w:p w:rsidR="00E24A64" w:rsidRPr="002B37B8" w:rsidRDefault="00D5047A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>Услуге страних лица на домаћем подручју, представништва страних лица и остале услуге 94-95</w:t>
      </w:r>
    </w:p>
    <w:p w:rsidR="002B37B8" w:rsidRPr="002B37B8" w:rsidRDefault="002B37B8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>Непосредна улагања 96-98</w:t>
      </w:r>
    </w:p>
    <w:p w:rsidR="002B37B8" w:rsidRPr="004A56C2" w:rsidRDefault="002B37B8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>Инвестицијски радови 98-99</w:t>
      </w:r>
    </w:p>
    <w:p w:rsidR="004A56C2" w:rsidRPr="004A56C2" w:rsidRDefault="004A56C2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>Облици обављања привредних делатности у иностранству 99-101</w:t>
      </w:r>
    </w:p>
    <w:p w:rsidR="004A56C2" w:rsidRPr="00426152" w:rsidRDefault="004A56C2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>Уступање инвестици</w:t>
      </w:r>
      <w:r w:rsidR="00783E70">
        <w:rPr>
          <w:lang w:val="sr-Cyrl-CS"/>
        </w:rPr>
        <w:t>јск</w:t>
      </w:r>
      <w:r>
        <w:rPr>
          <w:lang w:val="sr-Cyrl-CS"/>
        </w:rPr>
        <w:t>их радова страном извођачу 101</w:t>
      </w:r>
    </w:p>
    <w:p w:rsidR="00426152" w:rsidRPr="00426152" w:rsidRDefault="00426152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Уговор о међународној продаји робе, разлике у уговорима о продаји у унутрашњој и спољној трговини 105-107</w:t>
      </w:r>
    </w:p>
    <w:p w:rsidR="00426152" w:rsidRPr="006F5E78" w:rsidRDefault="00426152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Извори права међународне продаје 107-109</w:t>
      </w:r>
    </w:p>
    <w:p w:rsidR="006F5E78" w:rsidRPr="006F5E78" w:rsidRDefault="006F5E78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Сврха преговора ради закључивања уговора о продаји робе 109-112</w:t>
      </w:r>
    </w:p>
    <w:p w:rsidR="006F5E78" w:rsidRPr="006F5E78" w:rsidRDefault="006F5E78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Правно дејство преговора ради закључивања уговора о продаји робе 112-113</w:t>
      </w:r>
    </w:p>
    <w:p w:rsidR="006F5E78" w:rsidRPr="00EA66DC" w:rsidRDefault="006F5E78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Значај претходн</w:t>
      </w:r>
      <w:r w:rsidR="004946F2">
        <w:rPr>
          <w:lang w:val="sr-Cyrl-CS"/>
        </w:rPr>
        <w:t>ог</w:t>
      </w:r>
      <w:r>
        <w:rPr>
          <w:lang w:val="sr-Cyrl-CS"/>
        </w:rPr>
        <w:t xml:space="preserve"> </w:t>
      </w:r>
      <w:r w:rsidR="004946F2">
        <w:rPr>
          <w:lang w:val="sr-Cyrl-CS"/>
        </w:rPr>
        <w:t>договарањ</w:t>
      </w:r>
      <w:r>
        <w:rPr>
          <w:lang w:val="sr-Cyrl-CS"/>
        </w:rPr>
        <w:t>а за</w:t>
      </w:r>
      <w:r w:rsidRPr="006F5E78">
        <w:rPr>
          <w:lang w:val="sr-Cyrl-CS"/>
        </w:rPr>
        <w:t xml:space="preserve"> </w:t>
      </w:r>
      <w:r>
        <w:rPr>
          <w:lang w:val="sr-Cyrl-CS"/>
        </w:rPr>
        <w:t>закључивање уговора о продаји робе 113-11</w:t>
      </w:r>
      <w:r w:rsidR="00EA66DC">
        <w:rPr>
          <w:lang w:val="sr-Cyrl-CS"/>
        </w:rPr>
        <w:t>5</w:t>
      </w:r>
    </w:p>
    <w:p w:rsidR="00EA66DC" w:rsidRPr="00EA66DC" w:rsidRDefault="00EA66DC" w:rsidP="00701BF6">
      <w:pPr>
        <w:numPr>
          <w:ilvl w:val="0"/>
          <w:numId w:val="1"/>
        </w:numPr>
        <w:rPr>
          <w:lang w:val="en-029"/>
        </w:rPr>
      </w:pPr>
      <w:r>
        <w:t xml:space="preserve"> </w:t>
      </w:r>
      <w:r>
        <w:rPr>
          <w:lang w:val="sr-Cyrl-CS"/>
        </w:rPr>
        <w:t>Садржина понуде 115-116</w:t>
      </w:r>
    </w:p>
    <w:p w:rsidR="00EA66DC" w:rsidRPr="00EA66DC" w:rsidRDefault="00EA66DC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Дејство понуде 116-117</w:t>
      </w:r>
    </w:p>
    <w:p w:rsidR="00EA66DC" w:rsidRPr="002B14D8" w:rsidRDefault="00EA66DC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Прихватање понуде 117-119</w:t>
      </w:r>
    </w:p>
    <w:p w:rsidR="002B14D8" w:rsidRPr="002B14D8" w:rsidRDefault="002B14D8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Закључивање уговора електронским путем 120-122</w:t>
      </w:r>
    </w:p>
    <w:p w:rsidR="002B14D8" w:rsidRPr="007438AA" w:rsidRDefault="002B14D8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Управни оквири за настанак и извршење уговора 122-123</w:t>
      </w:r>
    </w:p>
    <w:p w:rsidR="007438AA" w:rsidRPr="00776919" w:rsidRDefault="007438AA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Основне обавезе продавца и купца </w:t>
      </w:r>
      <w:r w:rsidR="00776919">
        <w:rPr>
          <w:lang w:val="sr-Cyrl-CS"/>
        </w:rPr>
        <w:t>у спољнотрговинском послу 125</w:t>
      </w:r>
    </w:p>
    <w:p w:rsidR="00776919" w:rsidRPr="00776919" w:rsidRDefault="00776919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Појам испоруке робе 126</w:t>
      </w:r>
    </w:p>
    <w:p w:rsidR="00776919" w:rsidRPr="00776919" w:rsidRDefault="00776919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Начин испоруке робе 126-129</w:t>
      </w:r>
    </w:p>
    <w:p w:rsidR="00776919" w:rsidRPr="00776919" w:rsidRDefault="00776919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Место испоруке робе 129-132</w:t>
      </w:r>
    </w:p>
    <w:p w:rsidR="00776919" w:rsidRPr="005F5900" w:rsidRDefault="00776919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Рок испоруке робе 132-134</w:t>
      </w:r>
    </w:p>
    <w:p w:rsidR="005F5900" w:rsidRPr="005F5900" w:rsidRDefault="005F590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Обавеза продавца да испоручи саобразну робу – полазиште, случајеви несаобразности 134-136</w:t>
      </w:r>
    </w:p>
    <w:p w:rsidR="005F5900" w:rsidRPr="005F5900" w:rsidRDefault="005F590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Утврђивање саобразности испоручене робе 136-137</w:t>
      </w:r>
    </w:p>
    <w:p w:rsidR="005F5900" w:rsidRPr="005F5900" w:rsidRDefault="005F590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Обавештење о недостатку и одговорност продавца за несаобразност робе 137-139</w:t>
      </w:r>
    </w:p>
    <w:p w:rsidR="005F5900" w:rsidRPr="005F5900" w:rsidRDefault="005F590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Појам, начин и значај преноса својине над робом 139-140</w:t>
      </w:r>
    </w:p>
    <w:p w:rsidR="005F5900" w:rsidRPr="005F5900" w:rsidRDefault="005F590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Начин испуњавања обавезе</w:t>
      </w:r>
      <w:r w:rsidRPr="005F5900">
        <w:rPr>
          <w:lang w:val="sr-Cyrl-CS"/>
        </w:rPr>
        <w:t xml:space="preserve"> </w:t>
      </w:r>
      <w:r>
        <w:rPr>
          <w:lang w:val="sr-Cyrl-CS"/>
        </w:rPr>
        <w:t>преноса својине над робом 140-142</w:t>
      </w:r>
    </w:p>
    <w:p w:rsidR="005F5900" w:rsidRPr="005F5900" w:rsidRDefault="005F590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Начин извршења обавезе продавца да преда исправе 142-143</w:t>
      </w:r>
    </w:p>
    <w:p w:rsidR="005F5900" w:rsidRPr="005F5900" w:rsidRDefault="005F590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Облици и врсте исправа које прате извоз и увоз робе 143-145</w:t>
      </w:r>
    </w:p>
    <w:p w:rsidR="005F5900" w:rsidRPr="005F5900" w:rsidRDefault="005F590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Поступак и органи за издавање</w:t>
      </w:r>
      <w:r w:rsidRPr="005F5900">
        <w:rPr>
          <w:lang w:val="sr-Cyrl-CS"/>
        </w:rPr>
        <w:t xml:space="preserve"> </w:t>
      </w:r>
      <w:r>
        <w:rPr>
          <w:lang w:val="sr-Cyrl-CS"/>
        </w:rPr>
        <w:t>исправа које прате извоз и увоз робе 145-146</w:t>
      </w:r>
    </w:p>
    <w:p w:rsidR="005F5900" w:rsidRPr="004E3DB4" w:rsidRDefault="005F590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Правни оквир обављања платног промета са иностранством</w:t>
      </w:r>
      <w:r w:rsidR="004E3DB4">
        <w:rPr>
          <w:lang w:val="sr-Cyrl-CS"/>
        </w:rPr>
        <w:t xml:space="preserve"> 147-148</w:t>
      </w:r>
    </w:p>
    <w:p w:rsidR="004E3DB4" w:rsidRPr="004E3DB4" w:rsidRDefault="004E3DB4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Обавеза купца да предузме припремне мере и последице повреде ове обавезе 149-150</w:t>
      </w:r>
    </w:p>
    <w:p w:rsidR="004E3DB4" w:rsidRPr="004E3DB4" w:rsidRDefault="004E3DB4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Одређивање висине цене 150-152</w:t>
      </w:r>
    </w:p>
    <w:p w:rsidR="004E3DB4" w:rsidRPr="004E3DB4" w:rsidRDefault="004E3DB4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Валута и место плаћања цене 152-154</w:t>
      </w:r>
    </w:p>
    <w:p w:rsidR="004E3DB4" w:rsidRPr="004E3DB4" w:rsidRDefault="004E3DB4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lastRenderedPageBreak/>
        <w:t xml:space="preserve"> Средства и време плаћања 154-155</w:t>
      </w:r>
    </w:p>
    <w:p w:rsidR="004E3DB4" w:rsidRPr="006B6233" w:rsidRDefault="004E3DB4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Обавеза купца да прими робу 155-156</w:t>
      </w:r>
    </w:p>
    <w:p w:rsidR="00222B18" w:rsidRDefault="00222B18" w:rsidP="00A257B3">
      <w:pPr>
        <w:rPr>
          <w:lang w:val="sr-Cyrl-CS"/>
        </w:rPr>
      </w:pPr>
    </w:p>
    <w:p w:rsidR="00451F2B" w:rsidRDefault="00A257B3" w:rsidP="00045FD0">
      <w:pPr>
        <w:jc w:val="right"/>
        <w:rPr>
          <w:lang w:val="sr-Cyrl-CS"/>
        </w:rPr>
      </w:pPr>
      <w:r>
        <w:rPr>
          <w:lang w:val="sr-Cyrl-CS"/>
        </w:rPr>
        <w:t>Проф. др Небојша Жарковић</w:t>
      </w:r>
    </w:p>
    <w:p w:rsidR="00544DAE" w:rsidRPr="00544DAE" w:rsidRDefault="00544DAE" w:rsidP="00045FD0">
      <w:pPr>
        <w:jc w:val="right"/>
        <w:rPr>
          <w:lang w:val="sr-Latn-CS"/>
        </w:rPr>
      </w:pPr>
      <w:r>
        <w:rPr>
          <w:lang w:val="sr-Latn-CS"/>
        </w:rPr>
        <w:t>nzarkovic@sbb.rs</w:t>
      </w:r>
    </w:p>
    <w:sectPr w:rsidR="00544DAE" w:rsidRPr="00544DAE">
      <w:headerReference w:type="default" r:id="rId7"/>
      <w:pgSz w:w="11907" w:h="16840" w:code="9"/>
      <w:pgMar w:top="1814" w:right="1418" w:bottom="1134" w:left="1418" w:header="1021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233" w:rsidRDefault="00484233">
      <w:r>
        <w:separator/>
      </w:r>
    </w:p>
  </w:endnote>
  <w:endnote w:type="continuationSeparator" w:id="1">
    <w:p w:rsidR="00484233" w:rsidRDefault="00484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Ciril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233" w:rsidRDefault="00484233">
      <w:r>
        <w:separator/>
      </w:r>
    </w:p>
  </w:footnote>
  <w:footnote w:type="continuationSeparator" w:id="1">
    <w:p w:rsidR="00484233" w:rsidRDefault="00484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563" w:rsidRPr="00451F2B" w:rsidRDefault="005C5563">
    <w:pPr>
      <w:pStyle w:val="Header"/>
      <w:jc w:val="center"/>
      <w:rPr>
        <w:rFonts w:ascii="Times New Roman" w:hAnsi="Times New Roman"/>
        <w:sz w:val="26"/>
        <w:szCs w:val="26"/>
      </w:rPr>
    </w:pPr>
    <w:r w:rsidRPr="00451F2B">
      <w:rPr>
        <w:rFonts w:ascii="Times New Roman" w:hAnsi="Times New Roman"/>
        <w:sz w:val="26"/>
        <w:szCs w:val="26"/>
      </w:rPr>
      <w:t xml:space="preserve">- </w:t>
    </w:r>
    <w:r w:rsidRPr="00451F2B">
      <w:rPr>
        <w:rStyle w:val="PageNumber"/>
        <w:rFonts w:ascii="Times New Roman" w:hAnsi="Times New Roman"/>
        <w:sz w:val="26"/>
        <w:szCs w:val="26"/>
      </w:rPr>
      <w:fldChar w:fldCharType="begin"/>
    </w:r>
    <w:r w:rsidRPr="00451F2B">
      <w:rPr>
        <w:rStyle w:val="PageNumber"/>
        <w:rFonts w:ascii="Times New Roman" w:hAnsi="Times New Roman"/>
        <w:sz w:val="26"/>
        <w:szCs w:val="26"/>
      </w:rPr>
      <w:instrText xml:space="preserve"> PAGE </w:instrText>
    </w:r>
    <w:r w:rsidRPr="00451F2B">
      <w:rPr>
        <w:rStyle w:val="PageNumber"/>
        <w:rFonts w:ascii="Times New Roman" w:hAnsi="Times New Roman"/>
        <w:sz w:val="26"/>
        <w:szCs w:val="26"/>
      </w:rPr>
      <w:fldChar w:fldCharType="separate"/>
    </w:r>
    <w:r w:rsidR="0082246B">
      <w:rPr>
        <w:rStyle w:val="PageNumber"/>
        <w:rFonts w:ascii="Times New Roman" w:hAnsi="Times New Roman"/>
        <w:noProof/>
        <w:sz w:val="26"/>
        <w:szCs w:val="26"/>
      </w:rPr>
      <w:t>2</w:t>
    </w:r>
    <w:r w:rsidRPr="00451F2B">
      <w:rPr>
        <w:rStyle w:val="PageNumber"/>
        <w:rFonts w:ascii="Times New Roman" w:hAnsi="Times New Roman"/>
        <w:sz w:val="26"/>
        <w:szCs w:val="26"/>
      </w:rPr>
      <w:fldChar w:fldCharType="end"/>
    </w:r>
    <w:r w:rsidRPr="00451F2B">
      <w:rPr>
        <w:rStyle w:val="PageNumber"/>
        <w:rFonts w:ascii="Times New Roman" w:hAnsi="Times New Roman"/>
        <w:sz w:val="26"/>
        <w:szCs w:val="26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24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51F2B"/>
    <w:rsid w:val="0003605E"/>
    <w:rsid w:val="00045FD0"/>
    <w:rsid w:val="00051C4E"/>
    <w:rsid w:val="00060806"/>
    <w:rsid w:val="000C414E"/>
    <w:rsid w:val="000E1585"/>
    <w:rsid w:val="000E6648"/>
    <w:rsid w:val="000F2651"/>
    <w:rsid w:val="000F3D45"/>
    <w:rsid w:val="001019A9"/>
    <w:rsid w:val="00102376"/>
    <w:rsid w:val="00122315"/>
    <w:rsid w:val="00143865"/>
    <w:rsid w:val="001564E8"/>
    <w:rsid w:val="00167682"/>
    <w:rsid w:val="00167BEB"/>
    <w:rsid w:val="001A4FCE"/>
    <w:rsid w:val="001C311A"/>
    <w:rsid w:val="0021364E"/>
    <w:rsid w:val="00222B18"/>
    <w:rsid w:val="002429FE"/>
    <w:rsid w:val="0025762C"/>
    <w:rsid w:val="00270B1B"/>
    <w:rsid w:val="0028462E"/>
    <w:rsid w:val="002B14D8"/>
    <w:rsid w:val="002B2627"/>
    <w:rsid w:val="002B37B8"/>
    <w:rsid w:val="002B4F12"/>
    <w:rsid w:val="002C30C9"/>
    <w:rsid w:val="002D5EF4"/>
    <w:rsid w:val="002F6423"/>
    <w:rsid w:val="003013EE"/>
    <w:rsid w:val="00305E14"/>
    <w:rsid w:val="00337FBF"/>
    <w:rsid w:val="0034087F"/>
    <w:rsid w:val="00360D83"/>
    <w:rsid w:val="0039360B"/>
    <w:rsid w:val="0040258A"/>
    <w:rsid w:val="00426152"/>
    <w:rsid w:val="00446DB6"/>
    <w:rsid w:val="0044706C"/>
    <w:rsid w:val="00451F2B"/>
    <w:rsid w:val="00465E57"/>
    <w:rsid w:val="00484233"/>
    <w:rsid w:val="004936ED"/>
    <w:rsid w:val="004946F2"/>
    <w:rsid w:val="004A50D4"/>
    <w:rsid w:val="004A56C2"/>
    <w:rsid w:val="004B756C"/>
    <w:rsid w:val="004D6EAC"/>
    <w:rsid w:val="004E2B2F"/>
    <w:rsid w:val="004E3DB4"/>
    <w:rsid w:val="004E48FB"/>
    <w:rsid w:val="00544DAE"/>
    <w:rsid w:val="00560E23"/>
    <w:rsid w:val="005874B5"/>
    <w:rsid w:val="005B5800"/>
    <w:rsid w:val="005C5563"/>
    <w:rsid w:val="005F5900"/>
    <w:rsid w:val="0060619B"/>
    <w:rsid w:val="00606420"/>
    <w:rsid w:val="0062233D"/>
    <w:rsid w:val="006B6233"/>
    <w:rsid w:val="006D5B1A"/>
    <w:rsid w:val="006D7B10"/>
    <w:rsid w:val="006F5E78"/>
    <w:rsid w:val="006F61E7"/>
    <w:rsid w:val="00701BF6"/>
    <w:rsid w:val="00704AC6"/>
    <w:rsid w:val="007438AA"/>
    <w:rsid w:val="00776919"/>
    <w:rsid w:val="00781956"/>
    <w:rsid w:val="00783E70"/>
    <w:rsid w:val="007E2D00"/>
    <w:rsid w:val="0082246B"/>
    <w:rsid w:val="00863E45"/>
    <w:rsid w:val="00891277"/>
    <w:rsid w:val="009003C6"/>
    <w:rsid w:val="009018DC"/>
    <w:rsid w:val="00966B95"/>
    <w:rsid w:val="009A1AD9"/>
    <w:rsid w:val="009A73DE"/>
    <w:rsid w:val="009A7760"/>
    <w:rsid w:val="009C2099"/>
    <w:rsid w:val="009D47E1"/>
    <w:rsid w:val="009D70BF"/>
    <w:rsid w:val="00A23AF6"/>
    <w:rsid w:val="00A25003"/>
    <w:rsid w:val="00A257B3"/>
    <w:rsid w:val="00A31244"/>
    <w:rsid w:val="00A349A9"/>
    <w:rsid w:val="00A5754F"/>
    <w:rsid w:val="00AF3887"/>
    <w:rsid w:val="00B57ED0"/>
    <w:rsid w:val="00B84773"/>
    <w:rsid w:val="00BC3CC0"/>
    <w:rsid w:val="00BD651C"/>
    <w:rsid w:val="00BE563B"/>
    <w:rsid w:val="00C516F6"/>
    <w:rsid w:val="00C5452A"/>
    <w:rsid w:val="00CC54E1"/>
    <w:rsid w:val="00CC6C0A"/>
    <w:rsid w:val="00D20473"/>
    <w:rsid w:val="00D5047A"/>
    <w:rsid w:val="00D70817"/>
    <w:rsid w:val="00DB22E5"/>
    <w:rsid w:val="00DE1DCE"/>
    <w:rsid w:val="00DE2D2C"/>
    <w:rsid w:val="00E0684E"/>
    <w:rsid w:val="00E0727B"/>
    <w:rsid w:val="00E20836"/>
    <w:rsid w:val="00E24A64"/>
    <w:rsid w:val="00E53430"/>
    <w:rsid w:val="00E716CE"/>
    <w:rsid w:val="00E77A67"/>
    <w:rsid w:val="00E821C2"/>
    <w:rsid w:val="00E9657B"/>
    <w:rsid w:val="00EA66DC"/>
    <w:rsid w:val="00ED2EF0"/>
    <w:rsid w:val="00F05C71"/>
    <w:rsid w:val="00F54CF7"/>
    <w:rsid w:val="00FA1AD4"/>
    <w:rsid w:val="00FB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6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YuCiril Helvetica" w:hAnsi="YuCiril Helvetica"/>
      <w:sz w:val="2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YuCiril Helvetica" w:hAnsi="YuCiril Helvetic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ПИТАWА ИЗ ПРЕДМЕТА РЕОСИГУРАWЕ СА САОСИГУРАWЕМ</vt:lpstr>
    </vt:vector>
  </TitlesOfParts>
  <Company>ddor novi sad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ПИТАWА ИЗ ПРЕДМЕТА РЕОСИГУРАWЕ СА САОСИГУРАWЕМ</dc:title>
  <dc:subject/>
  <dc:creator>dusan marjanovic</dc:creator>
  <cp:keywords/>
  <dc:description/>
  <cp:lastModifiedBy>mega</cp:lastModifiedBy>
  <cp:revision>2</cp:revision>
  <cp:lastPrinted>2007-12-06T09:34:00Z</cp:lastPrinted>
  <dcterms:created xsi:type="dcterms:W3CDTF">2015-12-13T09:07:00Z</dcterms:created>
  <dcterms:modified xsi:type="dcterms:W3CDTF">2015-12-13T09:07:00Z</dcterms:modified>
</cp:coreProperties>
</file>